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8" w:type="dxa"/>
        <w:jc w:val="left"/>
        <w:tblInd w:w="55" w:type="dxa"/>
        <w:tblLayout w:type="fixed"/>
        <w:tblCellMar>
          <w:top w:w="55" w:type="dxa"/>
          <w:left w:w="52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color="auto" w:fill="EEEEEE" w:val="clea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b/>
                <w:bCs/>
                <w:caps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caps/>
                <w:szCs w:val="20"/>
              </w:rPr>
              <w:t>Liberatoria per la diffusione, comunicazione e pubblicazione dei dati ambientali prodotti</w:t>
            </w:r>
          </w:p>
          <w:p>
            <w:pPr>
              <w:pStyle w:val="Normal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DICHIARAZIONE ASSEVERATA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(ai sensi dell’art. 47 D.P.R. 28/12/2000, n. 445 e della D.G.R.V. n. 28 del 14 gennaio 2025)</w:t>
            </w:r>
          </w:p>
        </w:tc>
      </w:tr>
    </w:tbl>
    <w:p>
      <w:pPr>
        <w:pStyle w:val="Normal"/>
        <w:rPr/>
      </w:pPr>
      <w:r>
        <w:rPr>
          <w:rFonts w:cs="Times New Roman" w:ascii="Times New Roman" w:hAnsi="Times New Roman"/>
        </w:rPr>
        <w:tab/>
        <w:tab/>
        <w:tab/>
        <w:tab/>
        <w:tab/>
        <w:tab/>
        <w:t xml:space="preserve">     </w:t>
      </w:r>
    </w:p>
    <w:tbl>
      <w:tblPr>
        <w:tblW w:w="9888" w:type="dxa"/>
        <w:jc w:val="left"/>
        <w:tblInd w:w="151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500"/>
        <w:gridCol w:w="1227"/>
        <w:gridCol w:w="4505"/>
        <w:gridCol w:w="992"/>
        <w:gridCol w:w="1658"/>
        <w:gridCol w:w="6"/>
      </w:tblGrid>
      <w:tr>
        <w:trPr>
          <w:trHeight w:val="489" w:hRule="atLeast"/>
        </w:trPr>
        <w:tc>
          <w:tcPr>
            <w:tcW w:w="15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EEEEEE" w:val="clear"/>
            <w:vAlign w:val="center"/>
          </w:tcPr>
          <w:p>
            <w:pPr>
              <w:pStyle w:val="Normal"/>
              <w:spacing w:before="120" w:after="12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Il sottoscritto</w:t>
            </w:r>
          </w:p>
        </w:tc>
        <w:tc>
          <w:tcPr>
            <w:tcW w:w="573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120" w:after="12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EEEEEE" w:val="clear"/>
            <w:vAlign w:val="center"/>
          </w:tcPr>
          <w:p>
            <w:pPr>
              <w:pStyle w:val="Normal"/>
              <w:spacing w:before="120" w:after="12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Nato il</w:t>
            </w:r>
          </w:p>
        </w:tc>
        <w:tc>
          <w:tcPr>
            <w:tcW w:w="165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120" w:after="120"/>
              <w:rPr>
                <w:rFonts w:ascii="Times New Roman" w:hAnsi="Times New Roman"/>
                <w:i/>
                <w:i/>
                <w:szCs w:val="22"/>
              </w:rPr>
            </w:pPr>
            <w:r>
              <w:rPr>
                <w:rFonts w:ascii="Times New Roman" w:hAnsi="Times New Roman"/>
                <w:i/>
                <w:szCs w:val="22"/>
              </w:rPr>
            </w:r>
          </w:p>
        </w:tc>
        <w:tc>
          <w:tcPr>
            <w:tcW w:w="6" w:type="dxa"/>
            <w:tcBorders>
              <w:top w:val="single" w:sz="4" w:space="0" w:color="000001"/>
              <w:bottom w:val="single" w:sz="4" w:space="0" w:color="000001"/>
            </w:tcBorders>
            <w:shd w:fill="auto" w:val="clea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561" w:hRule="atLeast"/>
        </w:trPr>
        <w:tc>
          <w:tcPr>
            <w:tcW w:w="988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EEEEEE" w:val="clear"/>
            <w:vAlign w:val="center"/>
          </w:tcPr>
          <w:p>
            <w:pPr>
              <w:pStyle w:val="Normal"/>
              <w:spacing w:before="120" w:after="12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 xml:space="preserve">In qualità di </w:t>
            </w:r>
            <w:r>
              <w:rPr>
                <w:rFonts w:ascii="Times New Roman" w:hAnsi="Times New Roman"/>
                <w:szCs w:val="22"/>
                <w:u w:val="single"/>
              </w:rPr>
              <w:t>professionista esperto</w:t>
            </w:r>
            <w:r>
              <w:rPr>
                <w:rFonts w:ascii="Times New Roman" w:hAnsi="Times New Roman"/>
                <w:szCs w:val="22"/>
              </w:rPr>
              <w:t xml:space="preserve"> con competenza in campo naturalistico e ambientale</w:t>
            </w:r>
          </w:p>
        </w:tc>
      </w:tr>
      <w:tr>
        <w:trPr>
          <w:trHeight w:val="644" w:hRule="atLeast"/>
        </w:trPr>
        <w:tc>
          <w:tcPr>
            <w:tcW w:w="272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EEEEEE" w:val="clear"/>
            <w:vAlign w:val="center"/>
          </w:tcPr>
          <w:p>
            <w:pPr>
              <w:pStyle w:val="Normal"/>
              <w:spacing w:before="120" w:after="12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Relativamente al progetto dal titolo</w:t>
            </w:r>
          </w:p>
        </w:tc>
        <w:tc>
          <w:tcPr>
            <w:tcW w:w="7161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fill="auto" w:val="clear"/>
            <w:vAlign w:val="center"/>
          </w:tcPr>
          <w:p>
            <w:pPr>
              <w:pStyle w:val="Normal"/>
              <w:spacing w:before="120" w:after="120"/>
              <w:rPr/>
            </w:pPr>
            <w:r>
              <w:rPr/>
            </w:r>
          </w:p>
        </w:tc>
      </w:tr>
      <w:tr>
        <w:trPr>
          <w:trHeight w:val="412" w:hRule="atLeast"/>
        </w:trPr>
        <w:tc>
          <w:tcPr>
            <w:tcW w:w="9888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EEEEEE" w:val="clear"/>
            <w:vAlign w:val="center"/>
          </w:tcPr>
          <w:p>
            <w:pPr>
              <w:pStyle w:val="Normal"/>
              <w:spacing w:before="6" w:after="6"/>
              <w:jc w:val="both"/>
              <w:rPr>
                <w:rFonts w:ascii="Times New Roman" w:hAnsi="Times New Roman" w:eastAsia="Times New Roman" w:cs="Times New Roman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  <w:t>ai sensi e per gli effetti delle disposizioni contenute negli artt. 46 e 47 del DPR 445/2000 e consapevole delle sanzioni penali previste in caso di dichiarazioni mendaci (artt. 75 e 76 del D.P.R. n. 445/2000)</w:t>
            </w:r>
          </w:p>
          <w:p>
            <w:pPr>
              <w:pStyle w:val="Normal"/>
              <w:spacing w:before="120" w:after="120"/>
              <w:jc w:val="center"/>
              <w:rPr>
                <w:rFonts w:ascii="Times New Roman" w:hAnsi="Times New Roman" w:eastAsia="Times New Roman" w:cs="Times New Roman"/>
                <w:b/>
                <w:color w:val="000000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Cs w:val="22"/>
                <w:lang w:bidi="ar-SA"/>
              </w:rPr>
              <w:t>DICHIARA</w:t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contextualSpacing/>
              <w:jc w:val="both"/>
              <w:rPr>
                <w:rFonts w:ascii="Times New Roman" w:hAnsi="Times New Roman" w:eastAsia="Times New Roman" w:cs="Times New Roman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  <w:t>che l’elaborato contenente i dati ambientali prodotti ai fini della redazione dello studio per la VINCA allegato al predetto studio per la procedura di VINCA del P/P/P/I/A [riportare la denominazione], risponde alle finalità previste dal D.Lgs. n. 33/2013.</w:t>
            </w:r>
          </w:p>
          <w:p>
            <w:pPr>
              <w:pStyle w:val="ListParagraph"/>
              <w:spacing w:before="120" w:after="120"/>
              <w:contextualSpacing/>
              <w:jc w:val="both"/>
              <w:rPr>
                <w:rFonts w:ascii="Times New Roman" w:hAnsi="Times New Roman" w:eastAsia="Times New Roman" w:cs="Times New Roman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contextualSpacing/>
              <w:jc w:val="both"/>
              <w:rPr>
                <w:rFonts w:ascii="Times New Roman" w:hAnsi="Times New Roman" w:eastAsia="Times New Roman" w:cs="Times New Roman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  <w:t>di aver altresì provveduto in tutti i casi alla citazione delle fonti e degli autori del materiale scientifico e documentale utilizzato ai fini della redazione di tale elaborato.</w:t>
            </w:r>
          </w:p>
          <w:p>
            <w:pPr>
              <w:pStyle w:val="ListParagraph"/>
              <w:jc w:val="both"/>
              <w:rPr>
                <w:rFonts w:ascii="Times New Roman" w:hAnsi="Times New Roman" w:eastAsia="Times New Roman" w:cs="Times New Roman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spacing w:before="120" w:after="120"/>
              <w:contextualSpacing/>
              <w:jc w:val="both"/>
              <w:rPr>
                <w:rFonts w:ascii="Times New Roman" w:hAnsi="Times New Roman" w:eastAsia="Times New Roman" w:cs="Times New Roman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  <w:t>e garantisce, ad ogni buon conto, di tenere indenne e manlevare l’Autorità per la VINCA [riportare la denominazione] da ogni danno, responsabilità, costo e spesa, incluse le spese legali, o pretesa di terzi, derivanti da ogni eventuale violazione della L. 633/1941 e ss.mm.ii.</w:t>
            </w:r>
          </w:p>
          <w:p>
            <w:pPr>
              <w:pStyle w:val="Normal"/>
              <w:spacing w:before="120" w:after="120"/>
              <w:jc w:val="both"/>
              <w:rPr>
                <w:rFonts w:ascii="Times New Roman" w:hAnsi="Times New Roman" w:eastAsia="Times New Roman" w:cs="Times New Roman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</w:r>
          </w:p>
          <w:p>
            <w:pPr>
              <w:pStyle w:val="Normal"/>
              <w:spacing w:before="120" w:after="120"/>
              <w:jc w:val="both"/>
              <w:rPr>
                <w:rFonts w:ascii="Times New Roman" w:hAnsi="Times New Roman" w:eastAsia="Times New Roman" w:cs="Times New Roman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  <w:t>In ogni caso dovrà essere fornita la cartografia vettoriale degli habitat e delle specie di interesse comunitario che deve essere conforme alla DGR n. 1066/07 e dovrà essere altresì fornito il relativo metadato che deve risultare conforme alle specifiche tecniche del Repertorio Nazionale dei Dati Territoriali (RNDT).</w:t>
            </w:r>
          </w:p>
          <w:p>
            <w:pPr>
              <w:pStyle w:val="Normal"/>
              <w:spacing w:before="120" w:after="120"/>
              <w:jc w:val="both"/>
              <w:rPr>
                <w:rFonts w:ascii="Times New Roman" w:hAnsi="Times New Roman" w:eastAsia="Times New Roman" w:cs="Times New Roman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  <w:t>I dati e gli elaborati così prodotti e assunti nello studio per la VINCA costituiscono autonomo elaborato al fine degli obblighi previsti dal D. Lgs. n. 33/2013 in materia di pubblicazione e accesso alle informazioni ambientali.</w:t>
            </w:r>
          </w:p>
          <w:p>
            <w:pPr>
              <w:pStyle w:val="Normal"/>
              <w:spacing w:before="120" w:after="120"/>
              <w:jc w:val="both"/>
              <w:rPr>
                <w:rFonts w:ascii="Times New Roman" w:hAnsi="Times New Roman" w:eastAsia="Times New Roman" w:cs="Times New Roman"/>
                <w:szCs w:val="22"/>
                <w:lang w:bidi="ar-SA"/>
              </w:rPr>
            </w:pPr>
            <w:r>
              <w:rPr>
                <w:rFonts w:eastAsia="Times New Roman" w:cs="Times New Roman" w:ascii="Times New Roman" w:hAnsi="Times New Roman"/>
                <w:szCs w:val="22"/>
                <w:lang w:bidi="ar-SA"/>
              </w:rPr>
              <w:t>Infine si riconosce alle predette autorità il diritto di riprodurre, comunicare, diffondere e pubblicare con qualsiasi modalità, anche informatica, ai fini documentali, scientifici e statistici, le informazioni relative agli approfondimenti di dettaglio sugli habitat di interesse comunitario, sulle specie di interesse comunitario e/o di interesse conservazionistico contenuti nello specifico elaborato, accompagnate dalla citazione della fonte e dell’autore. (*)</w:t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9517" w:type="dxa"/>
        <w:jc w:val="left"/>
        <w:tblInd w:w="108" w:type="dxa"/>
        <w:tblLayout w:type="fixed"/>
        <w:tblCellMar>
          <w:top w:w="57" w:type="dxa"/>
          <w:left w:w="93" w:type="dxa"/>
          <w:bottom w:w="57" w:type="dxa"/>
          <w:right w:w="108" w:type="dxa"/>
        </w:tblCellMar>
        <w:tblLook w:firstRow="1" w:noVBand="0" w:lastRow="1" w:firstColumn="1" w:lastColumn="1" w:noHBand="0" w:val="01e0"/>
      </w:tblPr>
      <w:tblGrid>
        <w:gridCol w:w="866"/>
        <w:gridCol w:w="8650"/>
      </w:tblGrid>
      <w:tr>
        <w:trPr>
          <w:trHeight w:val="313" w:hRule="atLeast"/>
        </w:trPr>
        <w:tc>
          <w:tcPr>
            <w:tcW w:w="866" w:type="dxa"/>
            <w:tcBorders>
              <w:top w:val="single" w:sz="12" w:space="0" w:color="000001"/>
              <w:left w:val="single" w:sz="12" w:space="0" w:color="000001"/>
              <w:bottom w:val="single" w:sz="12" w:space="0" w:color="000001"/>
            </w:tcBorders>
            <w:shd w:color="auto" w:fill="F2F2F2" w:themeFill="background1" w:themeFillShade="f2" w:val="clear"/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suppressAutoHyphens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650" w:type="dxa"/>
            <w:tcBorders>
              <w:top w:val="single" w:sz="12" w:space="0" w:color="000001"/>
              <w:bottom w:val="single" w:sz="12" w:space="0" w:color="000001"/>
              <w:right w:val="single" w:sz="12" w:space="0" w:color="000001"/>
            </w:tcBorders>
            <w:shd w:color="auto" w:fill="F2F2F2" w:themeFill="background1" w:themeFillShade="f2" w:val="clear"/>
            <w:vAlign w:val="center"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Barrare per indicare la presa visione dell’informativa sul trattamento dei dati personali riportata sul sito web istituzionale https://www.provincia.treviso.it/index.php/it/privacy-e-cookies-policy per l’espletamento delle funzioni istituzionali esercitate nell’ambito della procedura di VINCA.</w:t>
            </w:r>
          </w:p>
        </w:tc>
      </w:tr>
    </w:tbl>
    <w:p>
      <w:pPr>
        <w:pStyle w:val="Normal"/>
        <w:spacing w:lineRule="auto" w:line="27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76"/>
        <w:rPr>
          <w:rFonts w:ascii="Times New Roman" w:hAnsi="Times New Roman" w:cs="Times New Roman"/>
        </w:rPr>
      </w:pPr>
      <w:r>
        <w:rPr>
          <w:rFonts w:cs="Times New Roman" w:ascii="TimesNewRoman" w:hAnsi="TimesNewRoman"/>
          <w:sz w:val="22"/>
        </w:rPr>
        <w:t xml:space="preserve">Luogo </w:t>
      </w:r>
      <w:r>
        <w:rPr>
          <w:rFonts w:cs="Times New Roman" w:ascii="Times New Roman" w:hAnsi="Times New Roman"/>
          <w:sz w:val="22"/>
        </w:rPr>
        <w:t>__________________</w:t>
      </w:r>
      <w:r>
        <w:rPr>
          <w:rFonts w:cs="Times New Roman" w:ascii="TimesNewRomanPSMT" w:hAnsi="TimesNewRomanPSMT"/>
          <w:sz w:val="22"/>
        </w:rPr>
        <w:t>____</w:t>
      </w:r>
      <w:r>
        <w:rPr>
          <w:rFonts w:cs="Times New Roman" w:ascii="Times New Roman" w:hAnsi="Times New Roman"/>
          <w:sz w:val="22"/>
        </w:rPr>
        <w:t>, data ___</w:t>
      </w:r>
      <w:r>
        <w:rPr>
          <w:rFonts w:cs="Times New Roman" w:ascii="TimesNewRomanPSMT" w:hAnsi="TimesNewRomanPSMT"/>
          <w:sz w:val="22"/>
        </w:rPr>
        <w:t>_</w:t>
      </w:r>
      <w:r>
        <w:rPr>
          <w:rFonts w:cs="Times New Roman" w:ascii="Times New Roman" w:hAnsi="Times New Roman"/>
          <w:sz w:val="22"/>
        </w:rPr>
        <w:t>_________</w:t>
      </w:r>
      <w:r>
        <w:rPr>
          <w:rFonts w:cs="Times New Roman" w:ascii="TimesNewRomanPSMT" w:hAnsi="TimesNewRomanPSMT"/>
          <w:sz w:val="22"/>
        </w:rPr>
        <w:t>___</w:t>
      </w:r>
      <w:r>
        <w:rPr>
          <w:rFonts w:cs="Times New Roman" w:ascii="Times New Roman" w:hAnsi="Times New Roman"/>
          <w:sz w:val="22"/>
        </w:rPr>
        <w:t>,</w:t>
      </w:r>
    </w:p>
    <w:p>
      <w:pPr>
        <w:pStyle w:val="Normal"/>
        <w:spacing w:lineRule="auto" w:line="276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  <w:bookmarkStart w:id="0" w:name="_GoBack"/>
      <w:bookmarkStart w:id="1" w:name="_GoBack"/>
      <w:bookmarkEnd w:id="1"/>
    </w:p>
    <w:p>
      <w:pPr>
        <w:pStyle w:val="Normal"/>
        <w:spacing w:lineRule="auto" w:line="276"/>
        <w:rPr>
          <w:rFonts w:ascii="Times New Roman" w:hAnsi="Times New Roman" w:cs="Times New Roman"/>
          <w:sz w:val="22"/>
        </w:rPr>
      </w:pPr>
      <w:r>
        <w:rPr>
          <w:rFonts w:cs="Times New Roman" w:ascii="Times New Roman" w:hAnsi="Times New Roman"/>
          <w:sz w:val="22"/>
        </w:rPr>
      </w:r>
    </w:p>
    <w:p>
      <w:pPr>
        <w:pStyle w:val="Normal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ab/>
        <w:tab/>
        <w:tab/>
        <w:tab/>
        <w:tab/>
        <w:t>IL DICHIARANTE</w:t>
      </w:r>
    </w:p>
    <w:p>
      <w:pPr>
        <w:pStyle w:val="Normal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</w:p>
    <w:p>
      <w:pPr>
        <w:pStyle w:val="Normal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ab/>
        <w:tab/>
        <w:tab/>
        <w:tab/>
        <w:tab/>
        <w:t>___________________________________(**)</w:t>
      </w:r>
    </w:p>
    <w:p>
      <w:pPr>
        <w:pStyle w:val="Normal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</w:r>
    </w:p>
    <w:p>
      <w:pPr>
        <w:pStyle w:val="Normal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b/>
          <w:sz w:val="16"/>
        </w:rPr>
      </w:r>
    </w:p>
    <w:p>
      <w:pPr>
        <w:pStyle w:val="Normal"/>
        <w:spacing w:lineRule="auto" w:line="27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/>
          <w:b/>
          <w:sz w:val="16"/>
        </w:rPr>
        <w:t xml:space="preserve">(*) </w:t>
      </w:r>
      <w:r>
        <w:rPr>
          <w:rFonts w:cs="Times New Roman" w:ascii="Times New Roman" w:hAnsi="Times New Roman"/>
          <w:sz w:val="22"/>
        </w:rPr>
        <w:t>Nel caso degli approfondimenti sugli habitat di interesse comunitario, questi dovranno essere rispondenti agli indirizzi tecnici della nota prot. n. 250930 del 8 maggio 2009, costituente circolare esplicativa in merito alla classificazione degli habitat di interesse comunitario e alle verifiche, criteri e determinazioni da assumersi nelle valutazioni di incidenza. Nel caso degli approfondimenti sulle specie di interesse comunitario e di interesse conservazionistico, questi dovranno riportare le fonti utilizzate con i relativi estratti e i metodi utilizzati per l’eventuale elaborazione del dato ovvero, laddove tali approfondimenti derivino da dirette acquisizioni sul campo, le modalità di acquisizione del dato, le tecniche di elaborazione del dato e i relativi dati grezzi.</w:t>
      </w:r>
    </w:p>
    <w:p>
      <w:pPr>
        <w:pStyle w:val="Normal"/>
        <w:jc w:val="both"/>
        <w:rPr/>
      </w:pPr>
      <w:r>
        <w:rPr>
          <w:rFonts w:ascii="Times New Roman" w:hAnsi="Times New Roman"/>
          <w:b/>
          <w:sz w:val="16"/>
        </w:rPr>
        <w:t xml:space="preserve">(**) </w:t>
      </w:r>
      <w:r>
        <w:rPr>
          <w:rFonts w:ascii="Times New Roman" w:hAnsi="Times New Roman"/>
          <w:sz w:val="22"/>
        </w:rPr>
        <w:t xml:space="preserve">Il documento informatico trasmesso in </w:t>
      </w:r>
      <w:r>
        <w:rPr>
          <w:rFonts w:ascii="Times New Roman" w:hAnsi="Times New Roman"/>
          <w:b/>
          <w:sz w:val="22"/>
        </w:rPr>
        <w:t xml:space="preserve">formato digitale </w:t>
      </w:r>
      <w:r>
        <w:rPr>
          <w:rFonts w:ascii="Times New Roman" w:hAnsi="Times New Roman"/>
          <w:sz w:val="22"/>
        </w:rPr>
        <w:t>è firmato digitalmente ai sensi dell’art. 24 del</w:t>
      </w:r>
      <w:r>
        <w:rPr>
          <w:rFonts w:cs="Times New Roman" w:ascii="Times New Roman" w:hAnsi="Times New Roman"/>
          <w:sz w:val="22"/>
        </w:rPr>
        <w:t>D.Lgs. 82/2005 e ss.mm.ii.</w:t>
      </w:r>
    </w:p>
    <w:p>
      <w:pPr>
        <w:pStyle w:val="Normal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jc w:val="both"/>
        <w:rPr/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1134" w:top="1191" w:footer="1134" w:bottom="1785"/>
      <w:pgNumType w:fmt="decimal"/>
      <w:formProt w:val="false"/>
      <w:titlePg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imesNewRoman">
    <w:charset w:val="00"/>
    <w:family w:val="roman"/>
    <w:pitch w:val="variable"/>
  </w:font>
  <w:font w:name="TimesNewRomanPSMT"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cs="Times New Roman" w:ascii="Times New Roman" w:hAnsi="Times New Roman"/>
        <w:sz w:val="16"/>
        <w:szCs w:val="16"/>
      </w:rPr>
      <w:t xml:space="preserve">pag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  <w:r>
      <w:rPr>
        <w:rFonts w:cs="Times New Roman" w:ascii="Times New Roman" w:hAnsi="Times New Roman"/>
        <w:sz w:val="16"/>
        <w:szCs w:val="16"/>
      </w:rPr>
      <w:t>/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Normal"/>
      <w:jc w:val="center"/>
      <w:rPr>
        <w:rFonts w:ascii="Times New Roman" w:hAnsi="Times New Roman"/>
        <w:sz w:val="16"/>
      </w:rPr>
    </w:pPr>
    <w:r>
      <w:rPr>
        <w:rFonts w:cs="Times New Roman" w:ascii="Times New Roman" w:hAnsi="Times New Roman"/>
        <w:sz w:val="16"/>
        <w:szCs w:val="16"/>
      </w:rPr>
      <w:t xml:space="preserve">Liberatoria per la diffusione, comunicazione e pubblicazione dei dati ambientali prodotti </w:t>
    </w:r>
    <w:r>
      <w:rPr>
        <w:rFonts w:ascii="TimesNewRomanPSMT" w:hAnsi="TimesNewRomanPSMT"/>
        <w:color w:val="000000"/>
        <w:sz w:val="16"/>
      </w:rPr>
      <w:t xml:space="preserve">– </w:t>
    </w:r>
    <w:r>
      <w:rPr>
        <w:rFonts w:ascii="Times New Roman" w:hAnsi="Times New Roman"/>
        <w:kern w:val="0"/>
        <w:sz w:val="16"/>
      </w:rPr>
      <w:t xml:space="preserve">Rev. 0 – </w:t>
    </w:r>
    <w:r>
      <w:rPr>
        <w:rFonts w:ascii="TimesNewRomanPSMT" w:hAnsi="TimesNewRomanPSMT"/>
        <w:color w:val="000000"/>
        <w:kern w:val="0"/>
        <w:sz w:val="16"/>
      </w:rPr>
      <w:t>Gen. 25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cs="Times New Roman" w:ascii="Times New Roman" w:hAnsi="Times New Roman"/>
        <w:sz w:val="16"/>
        <w:szCs w:val="16"/>
      </w:rPr>
      <w:t xml:space="preserve">PROVINCIA PADOVA Area TECNICA - Settore Ambiente - Ufficio V.I.A.   pag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r>
      <w:rPr>
        <w:rFonts w:cs="Times New Roman" w:ascii="Times New Roman" w:hAnsi="Times New Roman"/>
        <w:sz w:val="16"/>
        <w:szCs w:val="16"/>
      </w:rPr>
      <w:t>/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Normal"/>
      <w:jc w:val="center"/>
      <w:rPr>
        <w:rFonts w:ascii="Times New Roman" w:hAnsi="Times New Roman"/>
        <w:sz w:val="16"/>
      </w:rPr>
    </w:pPr>
    <w:r>
      <w:rPr>
        <w:rFonts w:cs="Times New Roman" w:ascii="Times New Roman" w:hAnsi="Times New Roman"/>
        <w:sz w:val="16"/>
        <w:szCs w:val="16"/>
      </w:rPr>
      <w:t xml:space="preserve">Liberatoria per la diffusione, comunicazione e pubblicazione dei dati ambientali prodotti </w:t>
    </w:r>
    <w:r>
      <w:rPr>
        <w:rFonts w:ascii="TimesNewRomanPSMT" w:hAnsi="TimesNewRomanPSMT"/>
        <w:color w:val="000000"/>
        <w:sz w:val="16"/>
      </w:rPr>
      <w:t>– Rev. 0 – Gen. 25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>
        <w:rFonts w:cs="Times New Roman" w:ascii="Times New Roman" w:hAnsi="Times New Roman"/>
        <w:sz w:val="16"/>
        <w:szCs w:val="16"/>
      </w:rPr>
      <w:t xml:space="preserve"> </w:t>
    </w:r>
    <w:r>
      <w:rPr>
        <w:rFonts w:cs="Times New Roman" w:ascii="Times New Roman" w:hAnsi="Times New Roman"/>
        <w:sz w:val="16"/>
        <w:szCs w:val="16"/>
      </w:rPr>
      <w:t xml:space="preserve">pag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>
        <w:rFonts w:cs="Times New Roman" w:ascii="Times New Roman" w:hAnsi="Times New Roman"/>
        <w:sz w:val="16"/>
        <w:szCs w:val="16"/>
      </w:rPr>
      <w:t>/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Normal"/>
      <w:jc w:val="center"/>
      <w:rPr/>
    </w:pPr>
    <w:r>
      <w:rPr>
        <w:rFonts w:cs="Times New Roman" w:ascii="Times New Roman" w:hAnsi="Times New Roman"/>
        <w:sz w:val="16"/>
        <w:szCs w:val="16"/>
      </w:rPr>
      <w:t xml:space="preserve">Liberatoria per la diffusione, comunicazione e pubblicazione dei dati ambientali prodotti </w:t>
    </w:r>
    <w:r>
      <w:rPr>
        <w:rFonts w:ascii="TimesNewRomanPSMT" w:hAnsi="TimesNewRomanPSMT"/>
        <w:color w:val="000000"/>
        <w:sz w:val="16"/>
      </w:rPr>
      <w:t xml:space="preserve">– </w:t>
    </w:r>
    <w:r>
      <w:rPr>
        <w:rFonts w:ascii="Times New Roman" w:hAnsi="Times New Roman"/>
        <w:kern w:val="0"/>
        <w:sz w:val="16"/>
      </w:rPr>
      <w:t xml:space="preserve">Rev. 0 – </w:t>
    </w:r>
    <w:r>
      <w:rPr>
        <w:rFonts w:ascii="TimesNewRomanPSMT" w:hAnsi="TimesNewRomanPSMT"/>
        <w:color w:val="000000"/>
        <w:kern w:val="0"/>
        <w:sz w:val="16"/>
      </w:rPr>
      <w:t>Gen. 25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>
        <w:rFonts w:ascii="Times New Roman" w:hAnsi="Times New Roman"/>
        <w:sz w:val="20"/>
        <w:szCs w:val="20"/>
      </w:rPr>
      <w:t>All. C – Liberatoria per la diffusione, comunicazione e pubblicazione dei dati ambientali prodotti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¨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0"/>
        <w:b/>
        <w:szCs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00000A"/>
      <w:kern w:val="2"/>
      <w:sz w:val="24"/>
      <w:szCs w:val="24"/>
      <w:lang w:val="it-IT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rPr>
      <w:color w:val="000080"/>
      <w:u w:val="single"/>
    </w:rPr>
  </w:style>
  <w:style w:type="character" w:styleId="Caratterinotaapidipagina" w:customStyle="1">
    <w:name w:val="Caratteri nota a piè di pagina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unti" w:customStyle="1">
    <w:name w:val="Punti"/>
    <w:qFormat/>
    <w:rPr>
      <w:rFonts w:ascii="OpenSymbol" w:hAnsi="OpenSymbol" w:eastAsia="OpenSymbol" w:cs="OpenSymbol"/>
    </w:rPr>
  </w:style>
  <w:style w:type="character" w:styleId="Caratteridinumerazione" w:customStyle="1">
    <w:name w:val="Caratteri di numerazione"/>
    <w:qFormat/>
    <w:rPr/>
  </w:style>
  <w:style w:type="character" w:styleId="Character20style" w:customStyle="1">
    <w:name w:val="Character_20_style"/>
    <w:qFormat/>
    <w:rPr/>
  </w:style>
  <w:style w:type="character" w:styleId="WW8Num16z0" w:customStyle="1">
    <w:name w:val="WW8Num16z0"/>
    <w:qFormat/>
    <w:rPr/>
  </w:style>
  <w:style w:type="character" w:styleId="WW8Num16z1" w:customStyle="1">
    <w:name w:val="WW8Num16z1"/>
    <w:qFormat/>
    <w:rPr/>
  </w:style>
  <w:style w:type="character" w:styleId="WW8Num16z2" w:customStyle="1">
    <w:name w:val="WW8Num16z2"/>
    <w:qFormat/>
    <w:rPr/>
  </w:style>
  <w:style w:type="character" w:styleId="WW8Num16z3" w:customStyle="1">
    <w:name w:val="WW8Num16z3"/>
    <w:qFormat/>
    <w:rPr/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8Num27z0" w:customStyle="1">
    <w:name w:val="WW8Num27z0"/>
    <w:qFormat/>
    <w:rPr>
      <w:rFonts w:ascii="Wingdings" w:hAnsi="Wingdings" w:cs="Wingdings"/>
      <w:sz w:val="22"/>
      <w:szCs w:val="22"/>
    </w:rPr>
  </w:style>
  <w:style w:type="character" w:styleId="WW8Num27z1" w:customStyle="1">
    <w:name w:val="WW8Num27z1"/>
    <w:qFormat/>
    <w:rPr>
      <w:rFonts w:ascii="Wingdings" w:hAnsi="Wingdings" w:cs="Wingdings"/>
      <w:sz w:val="16"/>
    </w:rPr>
  </w:style>
  <w:style w:type="character" w:styleId="WW8Num27z2" w:customStyle="1">
    <w:name w:val="WW8Num27z2"/>
    <w:qFormat/>
    <w:rPr>
      <w:rFonts w:ascii="Wingdings" w:hAnsi="Wingdings" w:cs="Wingdings"/>
    </w:rPr>
  </w:style>
  <w:style w:type="character" w:styleId="WW8Num27z3" w:customStyle="1">
    <w:name w:val="WW8Num27z3"/>
    <w:qFormat/>
    <w:rPr>
      <w:rFonts w:ascii="Symbol" w:hAnsi="Symbol" w:cs="Symbol"/>
    </w:rPr>
  </w:style>
  <w:style w:type="character" w:styleId="WW8Num27z4" w:customStyle="1">
    <w:name w:val="WW8Num27z4"/>
    <w:qFormat/>
    <w:rPr>
      <w:rFonts w:ascii="Courier New" w:hAnsi="Courier New" w:cs="Courier New"/>
    </w:rPr>
  </w:style>
  <w:style w:type="character" w:styleId="WW8Num28z0" w:customStyle="1">
    <w:name w:val="WW8Num28z0"/>
    <w:qFormat/>
    <w:rPr>
      <w:rFonts w:ascii="Wingdings" w:hAnsi="Wingdings" w:cs="Wingdings"/>
      <w:sz w:val="20"/>
      <w:szCs w:val="22"/>
    </w:rPr>
  </w:style>
  <w:style w:type="character" w:styleId="WW8Num28z1" w:customStyle="1">
    <w:name w:val="WW8Num28z1"/>
    <w:qFormat/>
    <w:rPr>
      <w:rFonts w:ascii="Courier New" w:hAnsi="Courier New" w:cs="Courier New"/>
    </w:rPr>
  </w:style>
  <w:style w:type="character" w:styleId="WW8Num28z2" w:customStyle="1">
    <w:name w:val="WW8Num28z2"/>
    <w:qFormat/>
    <w:rPr>
      <w:rFonts w:ascii="Wingdings" w:hAnsi="Wingdings" w:cs="Wingdings"/>
    </w:rPr>
  </w:style>
  <w:style w:type="character" w:styleId="WW8Num28z3" w:customStyle="1">
    <w:name w:val="WW8Num28z3"/>
    <w:qFormat/>
    <w:rPr>
      <w:rFonts w:ascii="Symbol" w:hAnsi="Symbol" w:cs="Symbol"/>
    </w:rPr>
  </w:style>
  <w:style w:type="character" w:styleId="FollowedHyperlink" w:customStyle="1">
    <w:name w:val="FollowedHyperlink"/>
    <w:qFormat/>
    <w:rPr>
      <w:color w:val="80000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FootnoteText">
    <w:name w:val="Footnote Text"/>
    <w:basedOn w:val="Normal"/>
    <w:pPr>
      <w:suppressLineNumbers/>
      <w:ind w:hanging="339" w:left="339"/>
    </w:pPr>
    <w:rPr>
      <w:sz w:val="20"/>
      <w:szCs w:val="20"/>
    </w:rPr>
  </w:style>
  <w:style w:type="paragraph" w:styleId="Intestazioneepidipagina" w:customStyle="1">
    <w:name w:val="Intestazione e piè di pagina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Intestazioneepidipagina"/>
    <w:pPr/>
    <w:rPr/>
  </w:style>
  <w:style w:type="paragraph" w:styleId="Contenutotabella" w:customStyle="1">
    <w:name w:val="Contenuto tabella"/>
    <w:basedOn w:val="Normal"/>
    <w:qFormat/>
    <w:pPr>
      <w:suppressLineNumbers/>
    </w:pPr>
    <w:rPr/>
  </w:style>
  <w:style w:type="paragraph" w:styleId="Titolotabella" w:customStyle="1">
    <w:name w:val="Titolo tabella"/>
    <w:basedOn w:val="Contenutotabella"/>
    <w:qFormat/>
    <w:pPr>
      <w:jc w:val="center"/>
    </w:pPr>
    <w:rPr>
      <w:b/>
      <w:bCs/>
    </w:rPr>
  </w:style>
  <w:style w:type="paragraph" w:styleId="BodyText2">
    <w:name w:val="Body Text 2"/>
    <w:basedOn w:val="Normal"/>
    <w:qFormat/>
    <w:pPr>
      <w:spacing w:lineRule="auto" w:line="480"/>
    </w:pPr>
    <w:rPr>
      <w:color w:val="FF0000"/>
    </w:rPr>
  </w:style>
  <w:style w:type="paragraph" w:styleId="Header">
    <w:name w:val="Header"/>
    <w:basedOn w:val="Intestazioneepidipagina"/>
    <w:pPr/>
    <w:rPr/>
  </w:style>
  <w:style w:type="paragraph" w:styleId="Rigadiintestazioneasinistra" w:customStyle="1">
    <w:name w:val="Riga di intestazione a sinistra"/>
    <w:basedOn w:val="Header"/>
    <w:qFormat/>
    <w:pPr/>
    <w:rPr/>
  </w:style>
  <w:style w:type="paragraph" w:styleId="ListParagraph">
    <w:name w:val="List Paragraph"/>
    <w:basedOn w:val="Normal"/>
    <w:uiPriority w:val="34"/>
    <w:qFormat/>
    <w:rsid w:val="00ee0d30"/>
    <w:pPr>
      <w:spacing w:before="0" w:after="0"/>
      <w:ind w:hanging="0" w:left="720"/>
      <w:contextualSpacing/>
    </w:pPr>
    <w:rPr>
      <w:rFonts w:cs="Mangal"/>
      <w:szCs w:val="21"/>
    </w:rPr>
  </w:style>
  <w:style w:type="numbering" w:styleId="NoList" w:default="1">
    <w:name w:val="No List"/>
    <w:uiPriority w:val="99"/>
    <w:semiHidden/>
    <w:unhideWhenUsed/>
    <w:qFormat/>
  </w:style>
  <w:style w:type="numbering" w:styleId="WW8Num8" w:customStyle="1">
    <w:name w:val="WW8Num8"/>
    <w:qFormat/>
  </w:style>
  <w:style w:type="numbering" w:styleId="WW8Num6" w:customStyle="1">
    <w:name w:val="WW8Num6"/>
    <w:qFormat/>
  </w:style>
  <w:style w:type="numbering" w:styleId="WW8Num11" w:customStyle="1">
    <w:name w:val="WW8Num11"/>
    <w:qFormat/>
  </w:style>
  <w:style w:type="numbering" w:styleId="WW8Num16" w:customStyle="1">
    <w:name w:val="WW8Num16"/>
    <w:qFormat/>
  </w:style>
  <w:style w:type="numbering" w:styleId="WW8Num27" w:customStyle="1">
    <w:name w:val="WW8Num27"/>
    <w:qFormat/>
  </w:style>
  <w:style w:type="numbering" w:styleId="WW8Num28" w:customStyle="1">
    <w:name w:val="WW8Num28"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Application>LibreOffice/7.6.7.2$Windows_X86_64 LibreOffice_project/dd47e4b30cb7dab30588d6c79c651f218165e3c5</Application>
  <AppVersion>15.0000</AppVersion>
  <Pages>2</Pages>
  <Words>580</Words>
  <Characters>3567</Characters>
  <CharactersWithSpaces>4148</CharactersWithSpaces>
  <Paragraphs>30</Paragraphs>
  <Company>Provincia di Padova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2025-01-23T15:10:00Z</dcterms:created>
  <dc:creator>EW/LN/CB</dc:creator>
  <dc:description/>
  <cp:keywords>Ethan</cp:keywords>
  <dc:language>it-IT</dc:language>
  <cp:lastModifiedBy/>
  <dcterms:modified xsi:type="dcterms:W3CDTF">2025-02-27T11:07:04Z</dcterms:modified>
  <cp:revision>6</cp:revision>
  <dc:subject>iscrizione argomenti all'ODG</dc:subject>
  <dc:title>Ethan Frome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