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638" w:type="dxa"/>
        <w:jc w:val="left"/>
        <w:tblInd w:w="55" w:type="dxa"/>
        <w:tblLayout w:type="fixed"/>
        <w:tblCellMar>
          <w:top w:w="55" w:type="dxa"/>
          <w:left w:w="52" w:type="dxa"/>
          <w:bottom w:w="55" w:type="dxa"/>
          <w:right w:w="55" w:type="dxa"/>
        </w:tblCellMar>
        <w:tblLook w:firstRow="0" w:noVBand="0" w:lastRow="0" w:firstColumn="0" w:lastColumn="0" w:noHBand="0" w:val="0000"/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color="auto" w:fill="EEEEEE" w:val="clear"/>
          </w:tcPr>
          <w:p>
            <w:pPr>
              <w:pStyle w:val="Normal"/>
              <w:jc w:val="center"/>
              <w:rPr>
                <w:rFonts w:ascii="Times New Roman" w:hAnsi="Times New Roman" w:cs="Times New Roman"/>
                <w:b/>
                <w:bCs/>
                <w:caps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caps/>
                <w:szCs w:val="20"/>
              </w:rPr>
              <w:t>Liberatoria per la diffusione, comunicazione e pubblicazione dei dati ambientali prodotti</w:t>
            </w:r>
          </w:p>
          <w:p>
            <w:pPr>
              <w:pStyle w:val="Normal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DICHIARAZIONE ASSEVERATA</w:t>
            </w:r>
          </w:p>
          <w:p>
            <w:pPr>
              <w:pStyle w:val="Normal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(ai sensi dell’art. 47 D.P.R. 28/12/2000, n. 445 e della D.G.R.V. n. 28 del 14 gennaio 2025)</w:t>
            </w:r>
          </w:p>
        </w:tc>
      </w:tr>
    </w:tbl>
    <w:p>
      <w:pPr>
        <w:pStyle w:val="Normal"/>
        <w:rPr/>
      </w:pPr>
      <w:r>
        <w:rPr>
          <w:rFonts w:cs="Times New Roman" w:ascii="Times New Roman" w:hAnsi="Times New Roman"/>
        </w:rPr>
        <w:tab/>
        <w:tab/>
        <w:tab/>
        <w:tab/>
        <w:tab/>
        <w:tab/>
        <w:t xml:space="preserve">     </w:t>
      </w:r>
    </w:p>
    <w:tbl>
      <w:tblPr>
        <w:tblW w:w="9888" w:type="dxa"/>
        <w:jc w:val="left"/>
        <w:tblInd w:w="151" w:type="dxa"/>
        <w:tblLayout w:type="fixed"/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500"/>
        <w:gridCol w:w="1227"/>
        <w:gridCol w:w="4505"/>
        <w:gridCol w:w="992"/>
        <w:gridCol w:w="1658"/>
        <w:gridCol w:w="6"/>
      </w:tblGrid>
      <w:tr>
        <w:trPr>
          <w:trHeight w:val="489" w:hRule="atLeast"/>
        </w:trPr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Il sottoscritto</w:t>
            </w:r>
          </w:p>
        </w:tc>
        <w:tc>
          <w:tcPr>
            <w:tcW w:w="573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Nato il</w:t>
            </w:r>
          </w:p>
        </w:tc>
        <w:tc>
          <w:tcPr>
            <w:tcW w:w="16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i/>
                <w:i/>
                <w:szCs w:val="22"/>
              </w:rPr>
            </w:pPr>
            <w:r>
              <w:rPr>
                <w:rFonts w:ascii="Times New Roman" w:hAnsi="Times New Roman"/>
                <w:i/>
                <w:szCs w:val="22"/>
              </w:rPr>
            </w:r>
          </w:p>
        </w:tc>
        <w:tc>
          <w:tcPr>
            <w:tcW w:w="6" w:type="dxa"/>
            <w:tcBorders>
              <w:top w:val="single" w:sz="4" w:space="0" w:color="000001"/>
              <w:bottom w:val="single" w:sz="4" w:space="0" w:color="000001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561" w:hRule="atLeast"/>
        </w:trPr>
        <w:tc>
          <w:tcPr>
            <w:tcW w:w="9888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In qualità di </w:t>
            </w:r>
            <w:r>
              <w:rPr>
                <w:rFonts w:ascii="Times New Roman" w:hAnsi="Times New Roman"/>
                <w:szCs w:val="22"/>
                <w:u w:val="single"/>
              </w:rPr>
              <w:t>professionista esperto</w:t>
            </w:r>
            <w:r>
              <w:rPr>
                <w:rFonts w:ascii="Times New Roman" w:hAnsi="Times New Roman"/>
                <w:szCs w:val="22"/>
              </w:rPr>
              <w:t xml:space="preserve"> con competenza in campo naturalistico e ambientale</w:t>
            </w:r>
          </w:p>
        </w:tc>
      </w:tr>
      <w:tr>
        <w:trPr>
          <w:trHeight w:val="644" w:hRule="atLeast"/>
        </w:trPr>
        <w:tc>
          <w:tcPr>
            <w:tcW w:w="272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Relativamente al progetto dal titolo</w:t>
            </w:r>
          </w:p>
        </w:tc>
        <w:tc>
          <w:tcPr>
            <w:tcW w:w="716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412" w:hRule="atLeast"/>
        </w:trPr>
        <w:tc>
          <w:tcPr>
            <w:tcW w:w="9888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EEEEEE" w:val="clear"/>
            <w:vAlign w:val="center"/>
          </w:tcPr>
          <w:p>
            <w:pPr>
              <w:pStyle w:val="Normal"/>
              <w:spacing w:before="6" w:after="6"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ai sensi e per gli effetti delle disposizioni contenute negli artt. 46 e 47 del DPR 445/2000 e consapevole delle sanzioni penali previste in caso di dichiarazioni mendaci (artt. 75 e 76 del D.P.R. n. 445/2000)</w:t>
            </w:r>
          </w:p>
          <w:p>
            <w:pPr>
              <w:pStyle w:val="Normal"/>
              <w:spacing w:before="120" w:after="120"/>
              <w:jc w:val="center"/>
              <w:rPr>
                <w:rFonts w:ascii="Times New Roman" w:hAnsi="Times New Roman" w:eastAsia="Times New Roman" w:cs="Times New Roman"/>
                <w:b/>
                <w:color w:val="000000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Cs w:val="22"/>
                <w:lang w:bidi="ar-SA"/>
              </w:rPr>
              <w:t>DICHIARA</w:t>
            </w:r>
          </w:p>
          <w:p>
            <w:pPr>
              <w:pStyle w:val="ListParagraph"/>
              <w:numPr>
                <w:ilvl w:val="0"/>
                <w:numId w:val="2"/>
              </w:numPr>
              <w:spacing w:before="120" w:after="120"/>
              <w:contextualSpacing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che l’elaborato contenente i dati ambientali prodotti ai fini della redazione dello studio per la VINCA allegato al predetto studio per la procedura di VINCA del P/P/P/I/A [riportare la denominazione], risponde alle finalità previste dal D.Lgs. n. 33/2013.</w:t>
            </w:r>
          </w:p>
          <w:p>
            <w:pPr>
              <w:pStyle w:val="ListParagraph"/>
              <w:spacing w:before="120" w:after="120"/>
              <w:contextualSpacing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</w:r>
          </w:p>
          <w:p>
            <w:pPr>
              <w:pStyle w:val="ListParagraph"/>
              <w:numPr>
                <w:ilvl w:val="0"/>
                <w:numId w:val="2"/>
              </w:numPr>
              <w:spacing w:before="120" w:after="120"/>
              <w:contextualSpacing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di aver altresì provveduto in tutti i casi alla citazione delle fonti e degli autori del materiale scientifico e documentale utilizzato ai fini della redazione di tale elaborato.</w:t>
            </w:r>
          </w:p>
          <w:p>
            <w:pPr>
              <w:pStyle w:val="ListParagraph"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</w:r>
          </w:p>
          <w:p>
            <w:pPr>
              <w:pStyle w:val="ListParagraph"/>
              <w:numPr>
                <w:ilvl w:val="0"/>
                <w:numId w:val="2"/>
              </w:numPr>
              <w:spacing w:before="120" w:after="120"/>
              <w:contextualSpacing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e garantisce, ad ogni buon conto, di tenere indenne e manlevare l’Autorità per la VINCA [riportare la denominazione] da ogni danno, responsabilità, costo e spesa, incluse le spese legali, o pretesa di terzi, derivanti da ogni eventuale violazione della L. 633/1941 e ss.mm.ii.</w:t>
            </w:r>
          </w:p>
          <w:p>
            <w:pPr>
              <w:pStyle w:val="Normal"/>
              <w:spacing w:before="120" w:after="120"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</w:r>
          </w:p>
          <w:p>
            <w:pPr>
              <w:pStyle w:val="Normal"/>
              <w:spacing w:before="120" w:after="120"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In ogni caso dovrà essere fornita la cartografia vettoriale degli habitat e delle specie di interesse comunitario che deve essere conforme alla DGR n. 1066/07 e dovrà essere altresì fornito il relativo metadato che deve risultare conforme alle specifiche tecniche del Repertorio Nazionale dei Dati Territoriali (RNDT).</w:t>
            </w:r>
          </w:p>
          <w:p>
            <w:pPr>
              <w:pStyle w:val="Normal"/>
              <w:spacing w:before="120" w:after="120"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I dati e gli elaborati così prodotti e assunti nello studio per la VINCA costituiscono autonomo elaborato al fine degli obblighi previsti dal D. Lgs. n. 33/2013 in materia di pubblicazione e accesso alle informazioni ambientali.</w:t>
            </w:r>
          </w:p>
          <w:p>
            <w:pPr>
              <w:pStyle w:val="Normal"/>
              <w:spacing w:before="120" w:after="120"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Infine si riconosce alle predette autorità il diritto di riprodurre, comunicare, diffondere e pubblicare con qualsiasi modalità, anche informatica, ai fini documentali, scientifici e statistici, le informazioni relative agli approfondimenti di dettaglio sugli habitat di interesse comunitario, sulle specie di interesse comunitario e/o di interesse conservazionistico contenuti nello specifico elaborato, accompagnate dalla citazione della fonte e dell’autore. (*)</w:t>
            </w:r>
          </w:p>
        </w:tc>
      </w:tr>
    </w:tbl>
    <w:p>
      <w:pPr>
        <w:pStyle w:val="Normal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tbl>
      <w:tblPr>
        <w:tblW w:w="9517" w:type="dxa"/>
        <w:jc w:val="left"/>
        <w:tblInd w:w="108" w:type="dxa"/>
        <w:tblLayout w:type="fixed"/>
        <w:tblCellMar>
          <w:top w:w="57" w:type="dxa"/>
          <w:left w:w="93" w:type="dxa"/>
          <w:bottom w:w="57" w:type="dxa"/>
          <w:right w:w="108" w:type="dxa"/>
        </w:tblCellMar>
        <w:tblLook w:firstRow="1" w:noVBand="0" w:lastRow="1" w:firstColumn="1" w:lastColumn="1" w:noHBand="0" w:val="01e0"/>
      </w:tblPr>
      <w:tblGrid>
        <w:gridCol w:w="866"/>
        <w:gridCol w:w="8650"/>
      </w:tblGrid>
      <w:tr>
        <w:trPr>
          <w:trHeight w:val="313" w:hRule="atLeast"/>
        </w:trPr>
        <w:tc>
          <w:tcPr>
            <w:tcW w:w="86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color="auto" w:fill="F2F2F2" w:themeFill="background1" w:themeFillShade="f2" w:val="clear"/>
            <w:vAlign w:val="center"/>
          </w:tcPr>
          <w:p>
            <w:pPr>
              <w:pStyle w:val="ListParagraph"/>
              <w:numPr>
                <w:ilvl w:val="0"/>
                <w:numId w:val="1"/>
              </w:numPr>
              <w:suppressAutoHyphens w:val="false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8650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Barrare per indicare la presa visione dell’informativa sul trattamento dei dati personali riportata sul sito web istituzionale https://www.provincia.treviso.it/index.php/it/privacy-e-cookies-policy per l’espletamento delle funzioni istituzionali esercitate nell’ambito della procedura di VINCA.</w:t>
            </w:r>
          </w:p>
        </w:tc>
      </w:tr>
    </w:tbl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>
          <w:rFonts w:cs="Times New Roman" w:ascii="TimesNewRoman" w:hAnsi="TimesNewRoman"/>
          <w:sz w:val="22"/>
        </w:rPr>
        <w:t xml:space="preserve">Luogo </w:t>
      </w:r>
      <w:r>
        <w:rPr>
          <w:rFonts w:cs="Times New Roman" w:ascii="Times New Roman" w:hAnsi="Times New Roman"/>
          <w:sz w:val="22"/>
        </w:rPr>
        <w:t>__________________</w:t>
      </w:r>
      <w:r>
        <w:rPr>
          <w:rFonts w:cs="Times New Roman" w:ascii="TimesNewRomanPSMT" w:hAnsi="TimesNewRomanPSMT"/>
          <w:sz w:val="22"/>
        </w:rPr>
        <w:t>____</w:t>
      </w:r>
      <w:r>
        <w:rPr>
          <w:rFonts w:cs="Times New Roman" w:ascii="Times New Roman" w:hAnsi="Times New Roman"/>
          <w:sz w:val="22"/>
        </w:rPr>
        <w:t>, data ___</w:t>
      </w:r>
      <w:r>
        <w:rPr>
          <w:rFonts w:cs="Times New Roman" w:ascii="TimesNewRomanPSMT" w:hAnsi="TimesNewRomanPSMT"/>
          <w:sz w:val="22"/>
        </w:rPr>
        <w:t>_</w:t>
      </w:r>
      <w:r>
        <w:rPr>
          <w:rFonts w:cs="Times New Roman" w:ascii="Times New Roman" w:hAnsi="Times New Roman"/>
          <w:sz w:val="22"/>
        </w:rPr>
        <w:t>_________</w:t>
      </w:r>
      <w:r>
        <w:rPr>
          <w:rFonts w:cs="Times New Roman" w:ascii="TimesNewRomanPSMT" w:hAnsi="TimesNewRomanPSMT"/>
          <w:sz w:val="22"/>
        </w:rPr>
        <w:t>___</w:t>
      </w:r>
      <w:r>
        <w:rPr>
          <w:rFonts w:cs="Times New Roman" w:ascii="Times New Roman" w:hAnsi="Times New Roman"/>
          <w:sz w:val="22"/>
        </w:rPr>
        <w:t>,</w:t>
      </w:r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</w:r>
      <w:bookmarkStart w:id="0" w:name="_GoBack"/>
      <w:bookmarkStart w:id="1" w:name="_GoBack"/>
      <w:bookmarkEnd w:id="1"/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</w:r>
    </w:p>
    <w:p>
      <w:pPr>
        <w:pStyle w:val="Normal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ab/>
        <w:tab/>
        <w:tab/>
        <w:tab/>
        <w:tab/>
        <w:tab/>
        <w:t>IL DICHIARANTE</w:t>
      </w:r>
    </w:p>
    <w:p>
      <w:pPr>
        <w:pStyle w:val="Normal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</w:r>
    </w:p>
    <w:p>
      <w:pPr>
        <w:pStyle w:val="Normal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ab/>
        <w:tab/>
        <w:tab/>
        <w:tab/>
        <w:tab/>
        <w:tab/>
        <w:t>___________________________________(**)</w:t>
      </w:r>
    </w:p>
    <w:p>
      <w:pPr>
        <w:pStyle w:val="Normal"/>
        <w:rPr>
          <w:rFonts w:ascii="Times New Roman" w:hAnsi="Times New Roman"/>
          <w:b/>
          <w:sz w:val="16"/>
        </w:rPr>
      </w:pPr>
      <w:r>
        <w:rPr>
          <w:rFonts w:ascii="Times New Roman" w:hAnsi="Times New Roman"/>
          <w:b/>
          <w:sz w:val="16"/>
        </w:rPr>
      </w:r>
    </w:p>
    <w:p>
      <w:pPr>
        <w:pStyle w:val="Normal"/>
        <w:rPr>
          <w:rFonts w:ascii="Times New Roman" w:hAnsi="Times New Roman"/>
          <w:b/>
          <w:sz w:val="16"/>
        </w:rPr>
      </w:pPr>
      <w:r>
        <w:rPr>
          <w:rFonts w:ascii="Times New Roman" w:hAnsi="Times New Roman"/>
          <w:b/>
          <w:sz w:val="16"/>
        </w:rPr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/>
          <w:b/>
          <w:sz w:val="16"/>
        </w:rPr>
        <w:t xml:space="preserve">(*) </w:t>
      </w:r>
      <w:r>
        <w:rPr>
          <w:rFonts w:cs="Times New Roman" w:ascii="Times New Roman" w:hAnsi="Times New Roman"/>
          <w:sz w:val="22"/>
        </w:rPr>
        <w:t>Nel caso degli approfondimenti sugli habitat di interesse comunitario, questi dovranno essere rispondenti agli indirizzi tecnici della nota prot. n. 250930 del 8 maggio 2009, costituente circolare esplicativa in merito alla classificazione degli habitat di interesse comunitario e alle verifiche, criteri e determinazioni da assumersi nelle valutazioni di incidenza. Nel caso degli approfondimenti sulle specie di interesse comunitario e di interesse conservazionistico, questi dovranno riportare le fonti utilizzate con i relativi estratti e i metodi utilizzati per l’eventuale elaborazione del dato ovvero, laddove tali approfondimenti derivino da dirette acquisizioni sul campo, le modalità di acquisizione del dato, le tecniche di elaborazione del dato e i relativi dati grezzi.</w:t>
      </w:r>
    </w:p>
    <w:p>
      <w:pPr>
        <w:pStyle w:val="Normal"/>
        <w:jc w:val="both"/>
        <w:rPr/>
      </w:pPr>
      <w:r>
        <w:rPr>
          <w:rFonts w:ascii="Times New Roman" w:hAnsi="Times New Roman"/>
          <w:b/>
          <w:sz w:val="16"/>
        </w:rPr>
        <w:t xml:space="preserve">(**) </w:t>
      </w:r>
      <w:r>
        <w:rPr>
          <w:rFonts w:ascii="Times New Roman" w:hAnsi="Times New Roman"/>
          <w:sz w:val="22"/>
        </w:rPr>
        <w:t xml:space="preserve">Il documento informatico trasmesso in </w:t>
      </w:r>
      <w:r>
        <w:rPr>
          <w:rFonts w:ascii="Times New Roman" w:hAnsi="Times New Roman"/>
          <w:b/>
          <w:sz w:val="22"/>
        </w:rPr>
        <w:t xml:space="preserve">formato digitale </w:t>
      </w:r>
      <w:r>
        <w:rPr>
          <w:rFonts w:ascii="Times New Roman" w:hAnsi="Times New Roman"/>
          <w:sz w:val="22"/>
        </w:rPr>
        <w:t>è firmato digitalmente ai sensi dell’art. 24 del</w:t>
      </w:r>
      <w:r>
        <w:rPr>
          <w:rFonts w:cs="Times New Roman" w:ascii="Times New Roman" w:hAnsi="Times New Roman"/>
          <w:sz w:val="22"/>
        </w:rPr>
        <w:t>D.Lgs. 82/2005 e ss.mm.ii.</w:t>
      </w:r>
    </w:p>
    <w:p>
      <w:pPr>
        <w:pStyle w:val="Normal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jc w:val="both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1134" w:top="1191" w:footer="1134" w:bottom="1785"/>
      <w:pgNumType w:fmt="decimal"/>
      <w:formProt w:val="false"/>
      <w:titlePg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Wingdings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imesNewRoman">
    <w:charset w:val="00"/>
    <w:family w:val="roman"/>
    <w:pitch w:val="variable"/>
  </w:font>
  <w:font w:name="TimesNewRomanPSMT">
    <w:charset w:val="00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pag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2</w:t>
    </w:r>
    <w:r>
      <w:rPr/>
      <w:fldChar w:fldCharType="end"/>
    </w:r>
    <w:r>
      <w:rPr>
        <w:rFonts w:cs="Times New Roman" w:ascii="Times New Roman" w:hAnsi="Times New Roman"/>
        <w:sz w:val="16"/>
        <w:szCs w:val="16"/>
      </w:rPr>
      <w:t>/</w:t>
    </w:r>
    <w:r>
      <w:rPr/>
      <w:fldChar w:fldCharType="begin"/>
    </w:r>
    <w:r>
      <w:rPr/>
      <w:instrText xml:space="preserve"> NUMPAGES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Normal"/>
      <w:jc w:val="center"/>
      <w:rPr>
        <w:rFonts w:ascii="Times New Roman" w:hAnsi="Times New Roman"/>
        <w:sz w:val="16"/>
      </w:rPr>
    </w:pPr>
    <w:r>
      <w:rPr>
        <w:rFonts w:cs="Times New Roman" w:ascii="Times New Roman" w:hAnsi="Times New Roman"/>
        <w:sz w:val="16"/>
        <w:szCs w:val="16"/>
      </w:rPr>
      <w:t xml:space="preserve">Liberatoria per la diffusione, comunicazione e pubblicazione dei dati ambientali prodotti </w:t>
    </w:r>
    <w:r>
      <w:rPr>
        <w:rFonts w:ascii="TimesNewRomanPSMT" w:hAnsi="TimesNewRomanPSMT"/>
        <w:color w:val="000000"/>
        <w:sz w:val="16"/>
      </w:rPr>
      <w:t xml:space="preserve">– </w:t>
    </w:r>
    <w:r>
      <w:rPr>
        <w:rFonts w:ascii="Times New Roman" w:hAnsi="Times New Roman"/>
        <w:kern w:val="0"/>
        <w:sz w:val="16"/>
      </w:rPr>
      <w:t xml:space="preserve">Rev. 0 – </w:t>
    </w:r>
    <w:r>
      <w:rPr>
        <w:rFonts w:ascii="TimesNewRomanPSMT" w:hAnsi="TimesNewRomanPSMT"/>
        <w:color w:val="000000"/>
        <w:kern w:val="0"/>
        <w:sz w:val="16"/>
      </w:rPr>
      <w:t>Gen. 25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PROVINCIA PADOVA Area TECNICA - Settore Ambiente - Ufficio V.I.A.   pag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  <w:r>
      <w:rPr>
        <w:rFonts w:cs="Times New Roman" w:ascii="Times New Roman" w:hAnsi="Times New Roman"/>
        <w:sz w:val="16"/>
        <w:szCs w:val="16"/>
      </w:rPr>
      <w:t>/</w:t>
    </w:r>
    <w:r>
      <w:rPr/>
      <w:fldChar w:fldCharType="begin"/>
    </w:r>
    <w:r>
      <w:rPr/>
      <w:instrText xml:space="preserve"> NUMPAGES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Normal"/>
      <w:jc w:val="center"/>
      <w:rPr>
        <w:rFonts w:ascii="Times New Roman" w:hAnsi="Times New Roman"/>
        <w:sz w:val="16"/>
      </w:rPr>
    </w:pPr>
    <w:r>
      <w:rPr>
        <w:rFonts w:cs="Times New Roman" w:ascii="Times New Roman" w:hAnsi="Times New Roman"/>
        <w:sz w:val="16"/>
        <w:szCs w:val="16"/>
      </w:rPr>
      <w:t xml:space="preserve">Liberatoria per la diffusione, comunicazione e pubblicazione dei dati ambientali prodotti </w:t>
    </w:r>
    <w:r>
      <w:rPr>
        <w:rFonts w:ascii="TimesNewRomanPSMT" w:hAnsi="TimesNewRomanPSMT"/>
        <w:color w:val="000000"/>
        <w:sz w:val="16"/>
      </w:rPr>
      <w:t>– Rev. 0 – Gen. 25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 </w:t>
    </w:r>
    <w:r>
      <w:rPr>
        <w:rFonts w:cs="Times New Roman" w:ascii="Times New Roman" w:hAnsi="Times New Roman"/>
        <w:sz w:val="16"/>
        <w:szCs w:val="16"/>
      </w:rPr>
      <w:t xml:space="preserve">pag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</w:t>
    </w:r>
    <w:r>
      <w:rPr/>
      <w:fldChar w:fldCharType="end"/>
    </w:r>
    <w:r>
      <w:rPr>
        <w:rFonts w:cs="Times New Roman" w:ascii="Times New Roman" w:hAnsi="Times New Roman"/>
        <w:sz w:val="16"/>
        <w:szCs w:val="16"/>
      </w:rPr>
      <w:t>/</w:t>
    </w:r>
    <w:r>
      <w:rPr/>
      <w:fldChar w:fldCharType="begin"/>
    </w:r>
    <w:r>
      <w:rPr/>
      <w:instrText xml:space="preserve"> NUMPAGES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Liberatoria per la diffusione, comunicazione e pubblicazione dei dati ambientali prodotti </w:t>
    </w:r>
    <w:r>
      <w:rPr>
        <w:rFonts w:ascii="TimesNewRomanPSMT" w:hAnsi="TimesNewRomanPSMT"/>
        <w:color w:val="000000"/>
        <w:sz w:val="16"/>
      </w:rPr>
      <w:t xml:space="preserve">– </w:t>
    </w:r>
    <w:r>
      <w:rPr>
        <w:rFonts w:ascii="Times New Roman" w:hAnsi="Times New Roman"/>
        <w:kern w:val="0"/>
        <w:sz w:val="16"/>
      </w:rPr>
      <w:t xml:space="preserve">Rev. 0 – </w:t>
    </w:r>
    <w:r>
      <w:rPr>
        <w:rFonts w:ascii="TimesNewRomanPSMT" w:hAnsi="TimesNewRomanPSMT"/>
        <w:color w:val="000000"/>
        <w:kern w:val="0"/>
        <w:sz w:val="16"/>
      </w:rPr>
      <w:t>Gen. 25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right"/>
      <w:rPr/>
    </w:pPr>
    <w:r>
      <w:rPr>
        <w:rFonts w:ascii="Times New Roman" w:hAnsi="Times New Roman"/>
        <w:sz w:val="20"/>
        <w:szCs w:val="20"/>
      </w:rPr>
      <w:t>All. C – Liberatoria per la diffusione, comunicazione e pubblicazione dei dati ambientali prodotti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¨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0"/>
        <w:b/>
        <w:szCs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evenAndOddHeaders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Cs w:val="24"/>
        <w:lang w:val="it-IT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00000A"/>
      <w:kern w:val="2"/>
      <w:sz w:val="24"/>
      <w:szCs w:val="24"/>
      <w:lang w:val="it-IT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 w:customStyle="1">
    <w:name w:val="Hyperlink"/>
    <w:rPr>
      <w:color w:val="000080"/>
      <w:u w:val="single"/>
    </w:rPr>
  </w:style>
  <w:style w:type="character" w:styleId="Caratterinotaapidipagina" w:customStyle="1">
    <w:name w:val="Caratteri nota a piè di pagina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Punti" w:customStyle="1">
    <w:name w:val="Punti"/>
    <w:qFormat/>
    <w:rPr>
      <w:rFonts w:ascii="OpenSymbol" w:hAnsi="OpenSymbol" w:eastAsia="OpenSymbol" w:cs="OpenSymbol"/>
    </w:rPr>
  </w:style>
  <w:style w:type="character" w:styleId="Caratteridinumerazione" w:customStyle="1">
    <w:name w:val="Caratteri di numerazione"/>
    <w:qFormat/>
    <w:rPr/>
  </w:style>
  <w:style w:type="character" w:styleId="Character20style" w:customStyle="1">
    <w:name w:val="Character_20_style"/>
    <w:qFormat/>
    <w:rPr/>
  </w:style>
  <w:style w:type="character" w:styleId="WW8Num16z0" w:customStyle="1">
    <w:name w:val="WW8Num16z0"/>
    <w:qFormat/>
    <w:rPr/>
  </w:style>
  <w:style w:type="character" w:styleId="WW8Num16z1" w:customStyle="1">
    <w:name w:val="WW8Num16z1"/>
    <w:qFormat/>
    <w:rPr/>
  </w:style>
  <w:style w:type="character" w:styleId="WW8Num16z2" w:customStyle="1">
    <w:name w:val="WW8Num16z2"/>
    <w:qFormat/>
    <w:rPr/>
  </w:style>
  <w:style w:type="character" w:styleId="WW8Num16z3" w:customStyle="1">
    <w:name w:val="WW8Num16z3"/>
    <w:qFormat/>
    <w:rPr/>
  </w:style>
  <w:style w:type="character" w:styleId="WW8Num16z4" w:customStyle="1">
    <w:name w:val="WW8Num16z4"/>
    <w:qFormat/>
    <w:rPr/>
  </w:style>
  <w:style w:type="character" w:styleId="WW8Num16z5" w:customStyle="1">
    <w:name w:val="WW8Num16z5"/>
    <w:qFormat/>
    <w:rPr/>
  </w:style>
  <w:style w:type="character" w:styleId="WW8Num16z6" w:customStyle="1">
    <w:name w:val="WW8Num16z6"/>
    <w:qFormat/>
    <w:rPr/>
  </w:style>
  <w:style w:type="character" w:styleId="WW8Num16z7" w:customStyle="1">
    <w:name w:val="WW8Num16z7"/>
    <w:qFormat/>
    <w:rPr/>
  </w:style>
  <w:style w:type="character" w:styleId="WW8Num16z8" w:customStyle="1">
    <w:name w:val="WW8Num16z8"/>
    <w:qFormat/>
    <w:rPr/>
  </w:style>
  <w:style w:type="character" w:styleId="WW8Num27z0" w:customStyle="1">
    <w:name w:val="WW8Num27z0"/>
    <w:qFormat/>
    <w:rPr>
      <w:rFonts w:ascii="Wingdings" w:hAnsi="Wingdings" w:cs="Wingdings"/>
      <w:sz w:val="22"/>
      <w:szCs w:val="22"/>
    </w:rPr>
  </w:style>
  <w:style w:type="character" w:styleId="WW8Num27z1" w:customStyle="1">
    <w:name w:val="WW8Num27z1"/>
    <w:qFormat/>
    <w:rPr>
      <w:rFonts w:ascii="Wingdings" w:hAnsi="Wingdings" w:cs="Wingdings"/>
      <w:sz w:val="16"/>
    </w:rPr>
  </w:style>
  <w:style w:type="character" w:styleId="WW8Num27z2" w:customStyle="1">
    <w:name w:val="WW8Num27z2"/>
    <w:qFormat/>
    <w:rPr>
      <w:rFonts w:ascii="Wingdings" w:hAnsi="Wingdings" w:cs="Wingdings"/>
    </w:rPr>
  </w:style>
  <w:style w:type="character" w:styleId="WW8Num27z3" w:customStyle="1">
    <w:name w:val="WW8Num27z3"/>
    <w:qFormat/>
    <w:rPr>
      <w:rFonts w:ascii="Symbol" w:hAnsi="Symbol" w:cs="Symbol"/>
    </w:rPr>
  </w:style>
  <w:style w:type="character" w:styleId="WW8Num27z4" w:customStyle="1">
    <w:name w:val="WW8Num27z4"/>
    <w:qFormat/>
    <w:rPr>
      <w:rFonts w:ascii="Courier New" w:hAnsi="Courier New" w:cs="Courier New"/>
    </w:rPr>
  </w:style>
  <w:style w:type="character" w:styleId="WW8Num28z0" w:customStyle="1">
    <w:name w:val="WW8Num28z0"/>
    <w:qFormat/>
    <w:rPr>
      <w:rFonts w:ascii="Wingdings" w:hAnsi="Wingdings" w:cs="Wingdings"/>
      <w:sz w:val="20"/>
      <w:szCs w:val="22"/>
    </w:rPr>
  </w:style>
  <w:style w:type="character" w:styleId="WW8Num28z1" w:customStyle="1">
    <w:name w:val="WW8Num28z1"/>
    <w:qFormat/>
    <w:rPr>
      <w:rFonts w:ascii="Courier New" w:hAnsi="Courier New" w:cs="Courier New"/>
    </w:rPr>
  </w:style>
  <w:style w:type="character" w:styleId="WW8Num28z2" w:customStyle="1">
    <w:name w:val="WW8Num28z2"/>
    <w:qFormat/>
    <w:rPr>
      <w:rFonts w:ascii="Wingdings" w:hAnsi="Wingdings" w:cs="Wingdings"/>
    </w:rPr>
  </w:style>
  <w:style w:type="character" w:styleId="WW8Num28z3" w:customStyle="1">
    <w:name w:val="WW8Num28z3"/>
    <w:qFormat/>
    <w:rPr>
      <w:rFonts w:ascii="Symbol" w:hAnsi="Symbol" w:cs="Symbol"/>
    </w:rPr>
  </w:style>
  <w:style w:type="character" w:styleId="FollowedHyperlink" w:customStyle="1">
    <w:name w:val="FollowedHyperlink"/>
    <w:qFormat/>
    <w:rPr>
      <w:color w:val="800000"/>
      <w:u w:val="single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 w:customStyle="1">
    <w:name w:val="Indice"/>
    <w:basedOn w:val="Normal"/>
    <w:qFormat/>
    <w:pPr>
      <w:suppressLineNumbers/>
    </w:pPr>
    <w:rPr/>
  </w:style>
  <w:style w:type="paragraph" w:styleId="Title">
    <w:name w:val="Title"/>
    <w:basedOn w:val="Normal"/>
    <w:next w:val="BodyText"/>
    <w:uiPriority w:val="10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i/>
      <w:iCs/>
    </w:rPr>
  </w:style>
  <w:style w:type="paragraph" w:styleId="FootnoteText">
    <w:name w:val="Footnote Text"/>
    <w:basedOn w:val="Normal"/>
    <w:pPr>
      <w:suppressLineNumbers/>
      <w:ind w:hanging="339" w:left="339"/>
    </w:pPr>
    <w:rPr>
      <w:sz w:val="20"/>
      <w:szCs w:val="20"/>
    </w:rPr>
  </w:style>
  <w:style w:type="paragraph" w:styleId="Intestazioneepidipagina" w:customStyle="1">
    <w:name w:val="Intestazione e piè di pagina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Intestazioneepidipagina"/>
    <w:pPr/>
    <w:rPr/>
  </w:style>
  <w:style w:type="paragraph" w:styleId="Contenutotabella" w:customStyle="1">
    <w:name w:val="Contenuto tabella"/>
    <w:basedOn w:val="Normal"/>
    <w:qFormat/>
    <w:pPr>
      <w:suppressLineNumbers/>
    </w:pPr>
    <w:rPr/>
  </w:style>
  <w:style w:type="paragraph" w:styleId="Titolotabella" w:customStyle="1">
    <w:name w:val="Titolo tabella"/>
    <w:basedOn w:val="Contenutotabella"/>
    <w:qFormat/>
    <w:pPr>
      <w:jc w:val="center"/>
    </w:pPr>
    <w:rPr>
      <w:b/>
      <w:bCs/>
    </w:rPr>
  </w:style>
  <w:style w:type="paragraph" w:styleId="BodyText2">
    <w:name w:val="Body Text 2"/>
    <w:basedOn w:val="Normal"/>
    <w:qFormat/>
    <w:pPr>
      <w:spacing w:lineRule="auto" w:line="480"/>
    </w:pPr>
    <w:rPr>
      <w:color w:val="FF0000"/>
    </w:rPr>
  </w:style>
  <w:style w:type="paragraph" w:styleId="Header">
    <w:name w:val="Header"/>
    <w:basedOn w:val="Intestazioneepidipagina"/>
    <w:pPr/>
    <w:rPr/>
  </w:style>
  <w:style w:type="paragraph" w:styleId="Rigadiintestazioneasinistra" w:customStyle="1">
    <w:name w:val="Riga di intestazione a sinistra"/>
    <w:basedOn w:val="Header"/>
    <w:qFormat/>
    <w:pPr/>
    <w:rPr/>
  </w:style>
  <w:style w:type="paragraph" w:styleId="ListParagraph">
    <w:name w:val="List Paragraph"/>
    <w:basedOn w:val="Normal"/>
    <w:uiPriority w:val="34"/>
    <w:qFormat/>
    <w:rsid w:val="00ee0d30"/>
    <w:pPr>
      <w:spacing w:before="0" w:after="0"/>
      <w:ind w:hanging="0" w:left="720"/>
      <w:contextualSpacing/>
    </w:pPr>
    <w:rPr>
      <w:rFonts w:cs="Mangal"/>
      <w:szCs w:val="21"/>
    </w:rPr>
  </w:style>
  <w:style w:type="numbering" w:styleId="NoList" w:default="1">
    <w:name w:val="No List"/>
    <w:uiPriority w:val="99"/>
    <w:semiHidden/>
    <w:unhideWhenUsed/>
    <w:qFormat/>
  </w:style>
  <w:style w:type="numbering" w:styleId="WW8Num8" w:customStyle="1">
    <w:name w:val="WW8Num8"/>
    <w:qFormat/>
  </w:style>
  <w:style w:type="numbering" w:styleId="WW8Num6" w:customStyle="1">
    <w:name w:val="WW8Num6"/>
    <w:qFormat/>
  </w:style>
  <w:style w:type="numbering" w:styleId="WW8Num11" w:customStyle="1">
    <w:name w:val="WW8Num11"/>
    <w:qFormat/>
  </w:style>
  <w:style w:type="numbering" w:styleId="WW8Num16" w:customStyle="1">
    <w:name w:val="WW8Num16"/>
    <w:qFormat/>
  </w:style>
  <w:style w:type="numbering" w:styleId="WW8Num27" w:customStyle="1">
    <w:name w:val="WW8Num27"/>
    <w:qFormat/>
  </w:style>
  <w:style w:type="numbering" w:styleId="WW8Num28" w:customStyle="1">
    <w:name w:val="WW8Num28"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Application>LibreOffice/7.6.7.2$Windows_X86_64 LibreOffice_project/dd47e4b30cb7dab30588d6c79c651f218165e3c5</Application>
  <AppVersion>15.0000</AppVersion>
  <Pages>2</Pages>
  <Words>580</Words>
  <Characters>3567</Characters>
  <CharactersWithSpaces>4148</CharactersWithSpaces>
  <Paragraphs>30</Paragraphs>
  <Company>Provincia di Padova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2025-01-23T15:10:00Z</dcterms:created>
  <dc:creator>EW/LN/CB</dc:creator>
  <dc:description/>
  <cp:keywords>Ethan</cp:keywords>
  <dc:language>it-IT</dc:language>
  <cp:lastModifiedBy/>
  <dcterms:modified xsi:type="dcterms:W3CDTF">2025-02-27T11:07:04Z</dcterms:modified>
  <cp:revision>6</cp:revision>
  <dc:subject>iscrizione argomenti all'ODG</dc:subject>
  <dc:title>Ethan Frome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